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E8792B"/>
          <w:sz w:val="18"/>
          <w:szCs w:val="18"/>
        </w:rPr>
        <w:t xml:space="preserve">EXODESK WORKSHEET</w:t>
      </w:r>
    </w:p>
    <w:p>
      <w:pPr>
        <w:pStyle w:val="Heading1"/>
        <w:spacing w:after="160" w:before="0"/>
      </w:pPr>
      <w:r>
        <w:rPr>
          <w:rFonts w:ascii="Calibri" w:cs="Calibri" w:eastAsia="Calibri" w:hAnsi="Calibri"/>
          <w:b/>
          <w:bCs/>
          <w:color w:val="1F2A44"/>
          <w:sz w:val="34"/>
          <w:szCs w:val="34"/>
        </w:rPr>
        <w:t xml:space="preserve">Small Business IT Spend and Scope Worksheet</w:t>
      </w:r>
    </w:p>
    <w:p>
      <w:pPr>
        <w:spacing w:after="200" w:before="0"/>
      </w:pPr>
      <w:r>
        <w:rPr>
          <w:rFonts w:ascii="Calibri" w:cs="Calibri" w:eastAsia="Calibri" w:hAnsi="Calibri"/>
          <w:color w:val="4A5160"/>
          <w:sz w:val="22"/>
          <w:szCs w:val="22"/>
        </w:rPr>
        <w:t xml:space="preserve">Work out what your business actually pays for IT, and which of it your support contract actually covers. Most businesses can answer the first question in about ten minutes. Almost nobody can answer the second without asking.</w:t>
      </w:r>
    </w:p>
    <w:p>
      <w:pPr>
        <w:pBdr>
          <w:bottom w:val="single" w:color="E8792B" w:sz="6"/>
        </w:pBdr>
        <w:spacing w:after="160" w:before="60"/>
      </w:pPr>
      <w:r>
        <w:rPr>
          <w:sz w:val="2"/>
          <w:szCs w:val="2"/>
        </w:rPr>
        <w:t xml:space="preserve"/>
      </w:r>
    </w:p>
    <w:p>
      <w:pPr>
        <w:pStyle w:val="Heading3"/>
        <w:spacing w:after="90" w:before="220"/>
      </w:pPr>
      <w:r>
        <w:rPr>
          <w:rFonts w:ascii="Calibri" w:cs="Calibri" w:eastAsia="Calibri" w:hAnsi="Calibri"/>
          <w:b/>
          <w:bCs/>
          <w:color w:val="1F2A44"/>
          <w:sz w:val="22"/>
          <w:szCs w:val="22"/>
        </w:rPr>
        <w:t xml:space="preserve">What you need</w:t>
      </w:r>
    </w:p>
    <w:p>
      <w:pPr>
        <w:pStyle w:val="ListParagraph"/>
        <w:numPr>
          <w:ilvl w:val="0"/>
          <w:numId w:val="2"/>
        </w:numPr>
        <w:spacing w:after="80"/>
      </w:pPr>
      <w:r>
        <w:rPr>
          <w:rFonts w:ascii="Calibri" w:cs="Calibri" w:eastAsia="Calibri" w:hAnsi="Calibri"/>
          <w:color w:val="4A5160"/>
          <w:sz w:val="20"/>
          <w:szCs w:val="20"/>
        </w:rPr>
        <w:t xml:space="preserve">Your last three months of invoices, including the ones that are charged to a credit card rather than on account.</w:t>
      </w:r>
    </w:p>
    <w:p>
      <w:pPr>
        <w:pStyle w:val="ListParagraph"/>
        <w:numPr>
          <w:ilvl w:val="0"/>
          <w:numId w:val="2"/>
        </w:numPr>
        <w:spacing w:after="80"/>
      </w:pPr>
      <w:r>
        <w:rPr>
          <w:rFonts w:ascii="Calibri" w:cs="Calibri" w:eastAsia="Calibri" w:hAnsi="Calibri"/>
          <w:color w:val="4A5160"/>
          <w:sz w:val="20"/>
          <w:szCs w:val="20"/>
        </w:rPr>
        <w:t xml:space="preserve">Your IT support agreement, if you have one in writing.</w:t>
      </w:r>
    </w:p>
    <w:p>
      <w:pPr>
        <w:pStyle w:val="ListParagraph"/>
        <w:numPr>
          <w:ilvl w:val="0"/>
          <w:numId w:val="2"/>
        </w:numPr>
        <w:spacing w:after="80"/>
      </w:pPr>
      <w:r>
        <w:rPr>
          <w:rFonts w:ascii="Calibri" w:cs="Calibri" w:eastAsia="Calibri" w:hAnsi="Calibri"/>
          <w:color w:val="4A5160"/>
          <w:sz w:val="20"/>
          <w:szCs w:val="20"/>
        </w:rPr>
        <w:t xml:space="preserve">Nobody from your IT provider in the room. Fill it in first, then ask them.</w:t>
      </w:r>
    </w:p>
    <w:p>
      <w:pPr>
        <w:pStyle w:val="Heading3"/>
        <w:spacing w:after="90" w:before="220"/>
      </w:pPr>
      <w:r>
        <w:rPr>
          <w:rFonts w:ascii="Calibri" w:cs="Calibri" w:eastAsia="Calibri" w:hAnsi="Calibri"/>
          <w:b/>
          <w:bCs/>
          <w:color w:val="1F2A44"/>
          <w:sz w:val="22"/>
          <w:szCs w:val="22"/>
        </w:rPr>
        <w:t xml:space="preserve">How to use it</w:t>
      </w:r>
    </w:p>
    <w:p>
      <w:pPr>
        <w:spacing w:after="120" w:before="0"/>
      </w:pPr>
      <w:r>
        <w:rPr>
          <w:rFonts w:ascii="Calibri" w:cs="Calibri" w:eastAsia="Calibri" w:hAnsi="Calibri"/>
          <w:color w:val="4A5160"/>
          <w:sz w:val="20"/>
          <w:szCs w:val="20"/>
        </w:rPr>
        <w:t xml:space="preserve">Part 1 is what you pay. Part 2 is the work that has to happen whether or not anyone is paying for it, which is where the gaps usually sit. Part 3 turns whatever you could not answer into questions to put to your provider in writing. Part 4 is a legal check that most small businesses have never run.</w:t>
      </w:r>
    </w:p>
    <w:p>
      <w:pPr>
        <w:spacing w:after="200" w:before="0"/>
      </w:pPr>
      <w:r>
        <w:rPr>
          <w:rFonts w:ascii="Calibri" w:cs="Calibri" w:eastAsia="Calibri" w:hAnsi="Calibri"/>
          <w:color w:val="4A5160"/>
          <w:sz w:val="20"/>
          <w:szCs w:val="20"/>
        </w:rPr>
        <w:t xml:space="preserve">The column that matters most is the last one in Part 1. Anything marked Unsure is not a small admin gap. It is a line item where you do not know whether the work is happening.</w:t>
      </w:r>
    </w:p>
    <w:p>
      <w:pPr>
        <w:pBdr>
          <w:top w:val="nil"/>
          <w:bottom w:val="nil"/>
          <w:left w:val="single" w:color="E8792B" w:sz="18"/>
          <w:right w:val="nil"/>
        </w:pBdr>
        <w:shd w:fill="F4F1EC" w:color="auto" w:val="clear"/>
        <w:spacing w:after="120" w:before="120"/>
      </w:pPr>
      <w:r>
        <w:rPr>
          <w:rFonts w:ascii="Calibri" w:cs="Calibri" w:eastAsia="Calibri" w:hAnsi="Calibri"/>
          <w:i/>
          <w:iCs/>
          <w:color w:val="1F2A44"/>
          <w:sz w:val="19"/>
          <w:szCs w:val="19"/>
        </w:rPr>
        <w:t xml:space="preserve">  A note on price benchmarks. There is no independent New Zealand benchmark for what IT support should cost. Every published per-user price in this market comes from a provider quoting its own rates. That is why this worksheet compares scope rather than headline price.</w:t>
      </w:r>
    </w:p>
    <w:p>
      <w:r>
        <w:br w:type="page"/>
      </w:r>
    </w:p>
    <w:p>
      <w:pPr>
        <w:pStyle w:val="Heading2"/>
        <w:spacing w:after="120" w:before="300"/>
      </w:pPr>
      <w:r>
        <w:rPr>
          <w:rFonts w:ascii="Calibri" w:cs="Calibri" w:eastAsia="Calibri" w:hAnsi="Calibri"/>
          <w:b/>
          <w:bCs/>
          <w:color w:val="1F2A44"/>
          <w:sz w:val="26"/>
          <w:szCs w:val="26"/>
        </w:rPr>
        <w:t xml:space="preserve">Part 1: What you pay for</w:t>
      </w:r>
    </w:p>
    <w:p>
      <w:pPr>
        <w:spacing w:after="160" w:before="0"/>
      </w:pPr>
      <w:r>
        <w:rPr>
          <w:rFonts w:ascii="Calibri" w:cs="Calibri" w:eastAsia="Calibri" w:hAnsi="Calibri"/>
          <w:color w:val="4A5160"/>
          <w:sz w:val="20"/>
          <w:szCs w:val="20"/>
        </w:rPr>
        <w:t xml:space="preserve">List every line. Use monthly figures and annualise at the end. If something is billed annually, divide by twelve so the columns compare. The last column is the one to argue about.</w:t>
      </w:r>
    </w:p>
    <w:p>
      <w:pPr>
        <w:pStyle w:val="Heading3"/>
        <w:spacing w:after="90" w:before="220"/>
      </w:pPr>
      <w:r>
        <w:rPr>
          <w:rFonts w:ascii="Calibri" w:cs="Calibri" w:eastAsia="Calibri" w:hAnsi="Calibri"/>
          <w:b/>
          <w:bCs/>
          <w:color w:val="1F2A44"/>
          <w:sz w:val="22"/>
          <w:szCs w:val="22"/>
        </w:rPr>
        <w:t xml:space="preserve">Connectivity and phones</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Internet connection</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Backup or failover connection</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Business phone system</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Mobile plans</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160"/>
      </w:pPr>
    </w:p>
    <w:p>
      <w:pPr>
        <w:pStyle w:val="Heading3"/>
        <w:spacing w:after="90" w:before="220"/>
      </w:pPr>
      <w:r>
        <w:rPr>
          <w:rFonts w:ascii="Calibri" w:cs="Calibri" w:eastAsia="Calibri" w:hAnsi="Calibri"/>
          <w:b/>
          <w:bCs/>
          <w:color w:val="1F2A44"/>
          <w:sz w:val="22"/>
          <w:szCs w:val="22"/>
        </w:rPr>
        <w:t xml:space="preserve">Devices and hardware</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Laptops and desktops</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Servers or on-site equipment</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Network gear and firewall</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Printers and copiers</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Warranty or lease cover</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160"/>
      </w:pPr>
    </w:p>
    <w:p>
      <w:pPr>
        <w:pStyle w:val="Heading3"/>
        <w:spacing w:after="90" w:before="220"/>
      </w:pPr>
      <w:r>
        <w:rPr>
          <w:rFonts w:ascii="Calibri" w:cs="Calibri" w:eastAsia="Calibri" w:hAnsi="Calibri"/>
          <w:b/>
          <w:bCs/>
          <w:color w:val="1F2A44"/>
          <w:sz w:val="22"/>
          <w:szCs w:val="22"/>
        </w:rPr>
        <w:t xml:space="preserve">Software and licences</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Microsoft 365 or Google Workspace</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Accounting software</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Your main industry system</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Everything bought on a staff credit card</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r>
        <w:br w:type="page"/>
      </w:r>
    </w:p>
    <w:p>
      <w:pPr>
        <w:pStyle w:val="Heading3"/>
        <w:spacing w:after="90" w:before="220"/>
      </w:pPr>
      <w:r>
        <w:rPr>
          <w:rFonts w:ascii="Calibri" w:cs="Calibri" w:eastAsia="Calibri" w:hAnsi="Calibri"/>
          <w:b/>
          <w:bCs/>
          <w:color w:val="1F2A44"/>
          <w:sz w:val="22"/>
          <w:szCs w:val="22"/>
        </w:rPr>
        <w:t xml:space="preserve">Security and continuity</w:t>
      </w:r>
    </w:p>
    <w:p>
      <w:pPr>
        <w:spacing w:after="120" w:before="0"/>
      </w:pPr>
      <w:r>
        <w:rPr>
          <w:rFonts w:ascii="Calibri" w:cs="Calibri" w:eastAsia="Calibri" w:hAnsi="Calibri"/>
          <w:color w:val="4A5160"/>
          <w:sz w:val="20"/>
          <w:szCs w:val="20"/>
        </w:rPr>
        <w:t xml:space="preserve">This block is the one most likely to contain a line you are paying for twice, or not at all.</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Antivirus or endpoint protection</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Email filtering</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Multi-factor authentication</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Backup</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Cyber insurance</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Security awareness training</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160"/>
      </w:pPr>
    </w:p>
    <w:p>
      <w:pPr>
        <w:pStyle w:val="Heading3"/>
        <w:spacing w:after="90" w:before="220"/>
      </w:pPr>
      <w:r>
        <w:rPr>
          <w:rFonts w:ascii="Calibri" w:cs="Calibri" w:eastAsia="Calibri" w:hAnsi="Calibri"/>
          <w:b/>
          <w:bCs/>
          <w:color w:val="1F2A44"/>
          <w:sz w:val="22"/>
          <w:szCs w:val="22"/>
        </w:rPr>
        <w:t xml:space="preserve">Website and online presence</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Domain name registration</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Website hosting</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Website maintenance</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Security certificate</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160"/>
      </w:pPr>
    </w:p>
    <w:p>
      <w:pPr>
        <w:pStyle w:val="Heading3"/>
        <w:spacing w:after="90" w:before="220"/>
      </w:pPr>
      <w:r>
        <w:rPr>
          <w:rFonts w:ascii="Calibri" w:cs="Calibri" w:eastAsia="Calibri" w:hAnsi="Calibri"/>
          <w:b/>
          <w:bCs/>
          <w:color w:val="1F2A44"/>
          <w:sz w:val="22"/>
          <w:szCs w:val="22"/>
        </w:rPr>
        <w:t xml:space="preserve">The support arrangement itself</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2600"/>
        <w:gridCol w:w="1700"/>
        <w:gridCol w:w="1100"/>
        <w:gridCol w:w="1100"/>
        <w:gridCol w:w="1500"/>
        <w:gridCol w:w="1360"/>
      </w:tblGrid>
      <w:tr>
        <w:trPr>
          <w:tblHeader/>
        </w:trPr>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Line item</w:t>
            </w:r>
          </w:p>
        </w:tc>
        <w:tc>
          <w:tcPr>
            <w:tcW w:type="dxa" w:w="1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Provider</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1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c>
          <w:tcPr>
            <w:tcW w:type="dxa" w:w="15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the support contract?</w:t>
            </w:r>
          </w:p>
        </w:tc>
        <w:tc>
          <w:tcPr>
            <w:tcW w:type="dxa" w:w="13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Last reviewed</w:t>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Monthly support fee</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n/a</w:t>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Hourly work billed on top, last 3 months</w:t>
            </w:r>
          </w:p>
        </w:tc>
        <w:tc>
          <w:tcPr>
            <w:tcW w:type="dxa" w:w="1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n/a</w:t>
            </w:r>
          </w:p>
        </w:tc>
        <w:tc>
          <w:tcPr>
            <w:tcW w:type="dxa" w:w="13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Project work, last 12 months</w:t>
            </w:r>
          </w:p>
        </w:tc>
        <w:tc>
          <w:tcPr>
            <w:tcW w:type="dxa" w:w="1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15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n/a</w:t>
            </w:r>
          </w:p>
        </w:tc>
        <w:tc>
          <w:tcPr>
            <w:tcW w:type="dxa" w:w="13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200"/>
      </w:pPr>
    </w:p>
    <w:p>
      <w:pPr>
        <w:pStyle w:val="Heading3"/>
        <w:spacing w:after="90" w:before="220"/>
      </w:pPr>
      <w:r>
        <w:rPr>
          <w:rFonts w:ascii="Calibri" w:cs="Calibri" w:eastAsia="Calibri" w:hAnsi="Calibri"/>
          <w:b/>
          <w:bCs/>
          <w:color w:val="1F2A44"/>
          <w:sz w:val="22"/>
          <w:szCs w:val="22"/>
        </w:rPr>
        <w:t xml:space="preserve">Totals</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4700"/>
        <w:gridCol w:w="2100"/>
        <w:gridCol w:w="2560"/>
      </w:tblGrid>
      <w:tr>
        <w:trPr>
          <w:tblHeader/>
        </w:trPr>
        <w:tc>
          <w:tcPr>
            <w:tcW w:type="dxa" w:w="47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
            </w:r>
          </w:p>
        </w:tc>
        <w:tc>
          <w:tcPr>
            <w:tcW w:type="dxa" w:w="21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Monthly</w:t>
            </w:r>
          </w:p>
        </w:tc>
        <w:tc>
          <w:tcPr>
            <w:tcW w:type="dxa" w:w="25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Annual</w:t>
            </w:r>
          </w:p>
        </w:tc>
      </w:tr>
      <w:tr>
        <w:tc>
          <w:tcPr>
            <w:tcW w:type="dxa" w:w="4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Total paid for IT</w:t>
            </w:r>
          </w:p>
        </w:tc>
        <w:tc>
          <w:tcPr>
            <w:tcW w:type="dxa" w:w="2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Of which is inside the support contract</w:t>
            </w:r>
          </w:p>
        </w:tc>
        <w:tc>
          <w:tcPr>
            <w:tcW w:type="dxa" w:w="2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7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Of which is billed separately</w:t>
            </w:r>
          </w:p>
        </w:tc>
        <w:tc>
          <w:tcPr>
            <w:tcW w:type="dxa" w:w="21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7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Number of lines marked Unsure</w:t>
            </w:r>
          </w:p>
        </w:tc>
        <w:tc>
          <w:tcPr>
            <w:tcW w:type="dxa" w:w="21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n/a</w:t>
            </w:r>
          </w:p>
        </w:tc>
      </w:tr>
    </w:tbl>
    <w:p>
      <w:r>
        <w:br w:type="page"/>
      </w:r>
    </w:p>
    <w:p>
      <w:pPr>
        <w:pStyle w:val="Heading2"/>
        <w:spacing w:after="120" w:before="300"/>
      </w:pPr>
      <w:r>
        <w:rPr>
          <w:rFonts w:ascii="Calibri" w:cs="Calibri" w:eastAsia="Calibri" w:hAnsi="Calibri"/>
          <w:b/>
          <w:bCs/>
          <w:color w:val="1F2A44"/>
          <w:sz w:val="26"/>
          <w:szCs w:val="26"/>
        </w:rPr>
        <w:t xml:space="preserve">Part 2: The work nobody invoices you for</w:t>
      </w:r>
    </w:p>
    <w:p>
      <w:pPr>
        <w:spacing w:after="160" w:before="0"/>
      </w:pPr>
      <w:r>
        <w:rPr>
          <w:rFonts w:ascii="Calibri" w:cs="Calibri" w:eastAsia="Calibri" w:hAnsi="Calibri"/>
          <w:color w:val="4A5160"/>
          <w:sz w:val="20"/>
          <w:szCs w:val="20"/>
        </w:rPr>
        <w:t xml:space="preserve">Every item below has to happen for a business to keep operating safely. None of it reliably appears on an invoice, which is why it is the part that quietly stops happening. For each one, write down a person's name. Not a company name, a person. If you cannot, that is the finding.</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4200"/>
        <w:gridCol w:w="2900"/>
        <w:gridCol w:w="2260"/>
      </w:tblGrid>
      <w:tr>
        <w:trPr>
          <w:tblHeader/>
        </w:trPr>
        <w:tc>
          <w:tcPr>
            <w:tcW w:type="dxa" w:w="42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Who does this, by name?</w:t>
            </w:r>
          </w:p>
        </w:tc>
        <w:tc>
          <w:tcPr>
            <w:tcW w:type="dxa" w:w="29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Name</w:t>
            </w:r>
          </w:p>
        </w:tc>
        <w:tc>
          <w:tcPr>
            <w:tcW w:type="dxa" w:w="22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When was it last done?</w:t>
            </w:r>
          </w:p>
        </w:tc>
      </w:tr>
      <w:tr>
        <w:tc>
          <w:tcPr>
            <w:tcW w:type="dxa" w:w="4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Applies security updates to computers</w:t>
            </w:r>
          </w:p>
        </w:tc>
        <w:tc>
          <w:tcPr>
            <w:tcW w:type="dxa" w:w="29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Applies security updates to servers and network gear</w:t>
            </w:r>
          </w:p>
        </w:tc>
        <w:tc>
          <w:tcPr>
            <w:tcW w:type="dxa" w:w="29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Checks that backups ran</w:t>
            </w:r>
          </w:p>
        </w:tc>
        <w:tc>
          <w:tcPr>
            <w:tcW w:type="dxa" w:w="29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Actually restores a file from backup to prove it works</w:t>
            </w:r>
          </w:p>
        </w:tc>
        <w:tc>
          <w:tcPr>
            <w:tcW w:type="dxa" w:w="29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Removes accounts when someone leaves</w:t>
            </w:r>
          </w:p>
        </w:tc>
        <w:tc>
          <w:tcPr>
            <w:tcW w:type="dxa" w:w="29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Reviews who has administrator access</w:t>
            </w:r>
          </w:p>
        </w:tc>
        <w:tc>
          <w:tcPr>
            <w:tcW w:type="dxa" w:w="29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Holds the master password for the domain name</w:t>
            </w:r>
          </w:p>
        </w:tc>
        <w:tc>
          <w:tcPr>
            <w:tcW w:type="dxa" w:w="29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Holds the administrator credentials for Microsoft 365</w:t>
            </w:r>
          </w:p>
        </w:tc>
        <w:tc>
          <w:tcPr>
            <w:tcW w:type="dxa" w:w="29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Would notice if a computer had been compromised</w:t>
            </w:r>
          </w:p>
        </w:tc>
        <w:tc>
          <w:tcPr>
            <w:tcW w:type="dxa" w:w="29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4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Decides what happens in the first hour of an outage</w:t>
            </w:r>
          </w:p>
        </w:tc>
        <w:tc>
          <w:tcPr>
            <w:tcW w:type="dxa" w:w="29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c>
          <w:tcPr>
            <w:tcW w:type="dxa" w:w="22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200"/>
      </w:pPr>
    </w:p>
    <w:p>
      <w:pPr>
        <w:pBdr>
          <w:top w:val="nil"/>
          <w:bottom w:val="nil"/>
          <w:left w:val="single" w:color="E8792B" w:sz="18"/>
          <w:right w:val="nil"/>
        </w:pBdr>
        <w:shd w:fill="F4F1EC" w:color="auto" w:val="clear"/>
        <w:spacing w:after="120" w:before="120"/>
      </w:pPr>
      <w:r>
        <w:rPr>
          <w:rFonts w:ascii="Calibri" w:cs="Calibri" w:eastAsia="Calibri" w:hAnsi="Calibri"/>
          <w:i/>
          <w:iCs/>
          <w:color w:val="1F2A44"/>
          <w:sz w:val="19"/>
          <w:szCs w:val="19"/>
        </w:rPr>
        <w:t xml:space="preserve">  Two rows in that table decide more than the rest combined. If nobody has restored a file from backup in the last twelve months, you have a backup you have never tested. And if the domain name is registered to a person who no longer works for you, or to a web developer you no longer use, you do not control your own email.</w:t>
      </w:r>
    </w:p>
    <w:p>
      <w:r>
        <w:br w:type="page"/>
      </w:r>
    </w:p>
    <w:p>
      <w:pPr>
        <w:pStyle w:val="Heading2"/>
        <w:spacing w:after="120" w:before="300"/>
      </w:pPr>
      <w:r>
        <w:rPr>
          <w:rFonts w:ascii="Calibri" w:cs="Calibri" w:eastAsia="Calibri" w:hAnsi="Calibri"/>
          <w:b/>
          <w:bCs/>
          <w:color w:val="1F2A44"/>
          <w:sz w:val="26"/>
          <w:szCs w:val="26"/>
        </w:rPr>
        <w:t xml:space="preserve">Part 3: Turn the gaps into questions</w:t>
      </w:r>
    </w:p>
    <w:p>
      <w:pPr>
        <w:spacing w:after="160" w:before="0"/>
      </w:pPr>
      <w:r>
        <w:rPr>
          <w:rFonts w:ascii="Calibri" w:cs="Calibri" w:eastAsia="Calibri" w:hAnsi="Calibri"/>
          <w:color w:val="4A5160"/>
          <w:sz w:val="20"/>
          <w:szCs w:val="20"/>
        </w:rPr>
        <w:t xml:space="preserve">Send these in writing, and keep the reply. A verbal yes is not a scope agreement. Each question is deliberately about what is in and out of scope rather than about how good the service is.</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4800"/>
        <w:gridCol w:w="4560"/>
      </w:tblGrid>
      <w:tr>
        <w:trPr>
          <w:tblHeader/>
        </w:trPr>
        <w:tc>
          <w:tcPr>
            <w:tcW w:type="dxa" w:w="48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Ask this</w:t>
            </w:r>
          </w:p>
        </w:tc>
        <w:tc>
          <w:tcPr>
            <w:tcW w:type="dxa" w:w="45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What you are actually establishing</w:t>
            </w:r>
          </w:p>
        </w:tc>
      </w:tr>
      <w:tr>
        <w:tc>
          <w:tcPr>
            <w:tcW w:type="dxa" w:w="48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Please list everything included in our monthly fee, and everything billed separately.</w:t>
            </w:r>
          </w:p>
        </w:tc>
        <w:tc>
          <w:tcPr>
            <w:tcW w:type="dxa" w:w="4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Whether the line items in Part 1 that I marked Unsure are covered or not.</w:t>
            </w:r>
          </w:p>
        </w:tc>
      </w:tr>
      <w:tr>
        <w:tc>
          <w:tcPr>
            <w:tcW w:type="dxa" w:w="48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Which of the tasks in this worksheet's Part 2 are you doing for us?</w:t>
            </w:r>
          </w:p>
        </w:tc>
        <w:tc>
          <w:tcPr>
            <w:tcW w:type="dxa" w:w="4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Whether the maintenance work has an owner, or has been quietly nobody's job.</w:t>
            </w:r>
          </w:p>
        </w:tc>
      </w:tr>
      <w:tr>
        <w:tc>
          <w:tcPr>
            <w:tcW w:type="dxa" w:w="48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What would trigger an increase to our monthly fee?</w:t>
            </w:r>
          </w:p>
        </w:tc>
        <w:tc>
          <w:tcPr>
            <w:tcW w:type="dxa" w:w="4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Whether the price is stable, and what counts as scope creep.</w:t>
            </w:r>
          </w:p>
        </w:tc>
      </w:tr>
      <w:tr>
        <w:tc>
          <w:tcPr>
            <w:tcW w:type="dxa" w:w="48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Who holds administrator credentials to our systems, and are they named individuals or a shared login?</w:t>
            </w:r>
          </w:p>
        </w:tc>
        <w:tc>
          <w:tcPr>
            <w:tcW w:type="dxa" w:w="4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Whether access is traceable to a person.</w:t>
            </w:r>
          </w:p>
        </w:tc>
      </w:tr>
      <w:tr>
        <w:tc>
          <w:tcPr>
            <w:tcW w:type="dxa" w:w="48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If we left in six months, what would you hand back and how long would it take?</w:t>
            </w:r>
          </w:p>
        </w:tc>
        <w:tc>
          <w:tcPr>
            <w:tcW w:type="dxa" w:w="4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Whether the data, documentation and configurations are ours to take.</w:t>
            </w:r>
          </w:p>
        </w:tc>
      </w:tr>
    </w:tbl>
    <w:p>
      <w:pPr>
        <w:spacing w:after="200"/>
      </w:pPr>
    </w:p>
    <w:p>
      <w:pPr>
        <w:spacing w:after="160" w:before="0"/>
      </w:pPr>
      <w:r>
        <w:rPr>
          <w:rFonts w:ascii="Calibri" w:cs="Calibri" w:eastAsia="Calibri" w:hAnsi="Calibri"/>
          <w:i/>
          <w:iCs/>
          <w:color w:val="4A5160"/>
          <w:sz w:val="20"/>
          <w:szCs w:val="20"/>
        </w:rPr>
        <w:t xml:space="preserve">If a provider cannot answer the first question with a written list, that is the answer to the first question.</w:t>
      </w:r>
    </w:p>
    <w:p>
      <w:r>
        <w:br w:type="page"/>
      </w:r>
    </w:p>
    <w:p>
      <w:pPr>
        <w:pStyle w:val="Heading2"/>
        <w:spacing w:after="120" w:before="300"/>
      </w:pPr>
      <w:r>
        <w:rPr>
          <w:rFonts w:ascii="Calibri" w:cs="Calibri" w:eastAsia="Calibri" w:hAnsi="Calibri"/>
          <w:b/>
          <w:bCs/>
          <w:color w:val="1F2A44"/>
          <w:sz w:val="26"/>
          <w:szCs w:val="26"/>
        </w:rPr>
        <w:t xml:space="preserve">Part 4: The Privacy Act check</w:t>
      </w:r>
    </w:p>
    <w:p>
      <w:pPr>
        <w:spacing w:after="140" w:before="0"/>
      </w:pPr>
      <w:r>
        <w:rPr>
          <w:rFonts w:ascii="Calibri" w:cs="Calibri" w:eastAsia="Calibri" w:hAnsi="Calibri"/>
          <w:color w:val="4A5160"/>
          <w:sz w:val="20"/>
          <w:szCs w:val="20"/>
        </w:rPr>
        <w:t xml:space="preserve">This is the part most small businesses have never run, and it is the one with legal consequences. Outsourcing your IT does not outsource your responsibility for the personal information in it.</w:t>
      </w:r>
    </w:p>
    <w:p>
      <w:pPr>
        <w:spacing w:after="140" w:before="0"/>
      </w:pPr>
      <w:r>
        <w:rPr>
          <w:rFonts w:ascii="Calibri" w:cs="Calibri" w:eastAsia="Calibri" w:hAnsi="Calibri"/>
          <w:color w:val="4A5160"/>
          <w:sz w:val="20"/>
          <w:szCs w:val="20"/>
        </w:rPr>
        <w:t xml:space="preserve">Under section 11 of the Privacy Act 2020, where a provider holds personal information on your behalf and does not use it for its own purposes, that information is treated as held by you, not by them. The Office of the Privacy Commissioner puts it more bluntly in its guidance on third-party providers: your organisation remains fully responsible for what happens to that information, and the third party is treated as you for the purposes of the Act.</w:t>
      </w:r>
    </w:p>
    <w:p>
      <w:pPr>
        <w:spacing w:after="180" w:before="0"/>
      </w:pPr>
      <w:r>
        <w:rPr>
          <w:rFonts w:ascii="Calibri" w:cs="Calibri" w:eastAsia="Calibri" w:hAnsi="Calibri"/>
          <w:color w:val="4A5160"/>
          <w:sz w:val="20"/>
          <w:szCs w:val="20"/>
        </w:rPr>
        <w:t xml:space="preserve">One consequence catches businesses out. The Privacy Commissioner generally expects to be told about a notifiable privacy breach within 72 hours of it becoming known, and that clock starts when your provider knows about the breach, not when your provider gets around to telling you.</w:t>
      </w:r>
    </w:p>
    <w:p>
      <w:pPr>
        <w:pStyle w:val="Heading3"/>
        <w:spacing w:after="90" w:before="220"/>
      </w:pPr>
      <w:r>
        <w:rPr>
          <w:rFonts w:ascii="Calibri" w:cs="Calibri" w:eastAsia="Calibri" w:hAnsi="Calibri"/>
          <w:b/>
          <w:bCs/>
          <w:color w:val="1F2A44"/>
          <w:sz w:val="22"/>
          <w:szCs w:val="22"/>
        </w:rPr>
        <w:t xml:space="preserve">Does your agreement cover these five things?</w:t>
      </w:r>
    </w:p>
    <w:p>
      <w:pPr>
        <w:spacing w:after="120" w:before="0"/>
      </w:pPr>
      <w:r>
        <w:rPr>
          <w:rFonts w:ascii="Calibri" w:cs="Calibri" w:eastAsia="Calibri" w:hAnsi="Calibri"/>
          <w:color w:val="4A5160"/>
          <w:sz w:val="20"/>
          <w:szCs w:val="20"/>
        </w:rPr>
        <w:t xml:space="preserve">The Office of the Privacy Commissioner lists these as what an agreement with a third-party provider should contain. Tick only the ones you could point to in writing.</w:t>
      </w:r>
    </w:p>
    <w:tbl>
      <w:tblPr>
        <w:tblW w:type="dxa" w:w="9360"/>
        <w:tblBorders>
          <w:top w:val="single" w:color="C9CDD6" w:sz="4"/>
          <w:left w:val="single" w:color="C9CDD6" w:sz="4"/>
          <w:bottom w:val="single" w:color="C9CDD6" w:sz="4"/>
          <w:right w:val="single" w:color="C9CDD6" w:sz="4"/>
          <w:insideH w:val="single" w:color="C9CDD6" w:sz="4"/>
          <w:insideV w:val="single" w:color="C9CDD6" w:sz="4"/>
        </w:tblBorders>
      </w:tblPr>
      <w:tblGrid>
        <w:gridCol w:w="560"/>
        <w:gridCol w:w="6200"/>
        <w:gridCol w:w="2600"/>
      </w:tblGrid>
      <w:tr>
        <w:trPr>
          <w:tblHeader/>
        </w:trPr>
        <w:tc>
          <w:tcPr>
            <w:tcW w:type="dxa" w:w="56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
            </w:r>
          </w:p>
        </w:tc>
        <w:tc>
          <w:tcPr>
            <w:tcW w:type="dxa" w:w="62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The agreement covers</w:t>
            </w:r>
          </w:p>
        </w:tc>
        <w:tc>
          <w:tcPr>
            <w:tcW w:type="dxa" w:w="2600"/>
            <w:shd w:fill="1F2A44" w:color="auto"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In writing? Y / N</w:t>
            </w:r>
          </w:p>
        </w:tc>
      </w:tr>
      <w:tr>
        <w:tc>
          <w:tcPr>
            <w:tcW w:type="dxa" w:w="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1</w:t>
            </w:r>
          </w:p>
        </w:tc>
        <w:tc>
          <w:tcPr>
            <w:tcW w:type="dxa" w:w="6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Appropriate security measures</w:t>
            </w:r>
          </w:p>
        </w:tc>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2</w:t>
            </w:r>
          </w:p>
        </w:tc>
        <w:tc>
          <w:tcPr>
            <w:tcW w:type="dxa" w:w="6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How access and correction requests will be handled</w:t>
            </w:r>
          </w:p>
        </w:tc>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3</w:t>
            </w:r>
          </w:p>
        </w:tc>
        <w:tc>
          <w:tcPr>
            <w:tcW w:type="dxa" w:w="6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The process and timeframe for telling you about a privacy breach</w:t>
            </w:r>
          </w:p>
        </w:tc>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56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4</w:t>
            </w:r>
          </w:p>
        </w:tc>
        <w:tc>
          <w:tcPr>
            <w:tcW w:type="dxa" w:w="62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Compliance with relevant privacy laws</w:t>
            </w:r>
          </w:p>
        </w:tc>
        <w:tc>
          <w:tcPr>
            <w:tcW w:type="dxa" w:w="2600"/>
            <w:shd w:fill="F4F1EC" w:color="auto" w:val="clear"/>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r>
        <w:tc>
          <w:tcPr>
            <w:tcW w:type="dxa" w:w="56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5</w:t>
            </w:r>
          </w:p>
        </w:tc>
        <w:tc>
          <w:tcPr>
            <w:tcW w:type="dxa" w:w="62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What the provider may do with the information you give them</w:t>
            </w:r>
          </w:p>
        </w:tc>
        <w:tc>
          <w:tcPr>
            <w:tcW w:type="dxa" w:w="2600"/>
            <w:tcMar>
              <w:top w:type="dxa" w:w="80"/>
              <w:left w:type="dxa" w:w="110"/>
              <w:bottom w:type="dxa" w:w="80"/>
              <w:right w:type="dxa" w:w="110"/>
            </w:tcMar>
          </w:tcPr>
          <w:p>
            <w:pPr>
              <w:spacing w:after="0"/>
            </w:pPr>
            <w:r>
              <w:rPr>
                <w:rFonts w:ascii="Calibri" w:cs="Calibri" w:eastAsia="Calibri" w:hAnsi="Calibri"/>
                <w:i w:val="false"/>
                <w:iCs w:val="false"/>
                <w:color w:val="4A5160"/>
                <w:sz w:val="18"/>
                <w:szCs w:val="18"/>
              </w:rPr>
              <w:t xml:space="preserve"/>
            </w:r>
          </w:p>
        </w:tc>
      </w:tr>
    </w:tbl>
    <w:p>
      <w:pPr>
        <w:spacing w:after="200"/>
      </w:pPr>
    </w:p>
    <w:p>
      <w:pPr>
        <w:spacing w:after="200" w:before="0"/>
      </w:pPr>
      <w:r>
        <w:rPr>
          <w:rFonts w:ascii="Calibri" w:cs="Calibri" w:eastAsia="Calibri" w:hAnsi="Calibri"/>
          <w:color w:val="4A5160"/>
          <w:sz w:val="20"/>
          <w:szCs w:val="20"/>
        </w:rPr>
        <w:t xml:space="preserve">There is no small business exemption in the Privacy Act. The duty is to take security safeguards that are reasonable in the circumstances, and to do everything reasonably within your power to prevent unauthorised use or disclosure when information is given to someone providing a service to you. What is reasonable for a five-person firm is not what is reasonable for a bank, but it is not nothing.</w:t>
      </w:r>
    </w:p>
    <w:p>
      <w:pPr>
        <w:pBdr>
          <w:bottom w:val="single" w:color="E8792B" w:sz="6"/>
        </w:pBdr>
        <w:spacing w:after="160" w:before="60"/>
      </w:pPr>
      <w:r>
        <w:rPr>
          <w:sz w:val="2"/>
          <w:szCs w:val="2"/>
        </w:rPr>
        <w:t xml:space="preserve"/>
      </w:r>
    </w:p>
    <w:p>
      <w:pPr>
        <w:spacing w:after="200" w:before="0"/>
      </w:pPr>
      <w:r>
        <w:rPr>
          <w:rFonts w:ascii="Calibri" w:cs="Calibri" w:eastAsia="Calibri" w:hAnsi="Calibri"/>
          <w:i/>
          <w:iCs/>
          <w:color w:val="4A5160"/>
          <w:sz w:val="17"/>
          <w:szCs w:val="17"/>
        </w:rPr>
        <w:t xml:space="preserve">Sources: Privacy Act 2020 section 11 and information privacy principle 5, legislation.govt.nz. Office of the Privacy Commissioner, Working with third-party providers: understanding your privacy responsibilities, 26 November 2024, privacy.org.nz.</w:t>
      </w:r>
    </w:p>
    <w:p>
      <w:r>
        <w:br w:type="page"/>
      </w:r>
    </w:p>
    <w:p>
      <w:pPr>
        <w:pStyle w:val="Heading2"/>
        <w:spacing w:after="120" w:before="300"/>
      </w:pPr>
      <w:r>
        <w:rPr>
          <w:rFonts w:ascii="Calibri" w:cs="Calibri" w:eastAsia="Calibri" w:hAnsi="Calibri"/>
          <w:b/>
          <w:bCs/>
          <w:color w:val="1F2A44"/>
          <w:sz w:val="26"/>
          <w:szCs w:val="26"/>
        </w:rPr>
        <w:t xml:space="preserve">What to do with the answers</w:t>
      </w:r>
    </w:p>
    <w:p>
      <w:pPr>
        <w:spacing w:after="140" w:before="0"/>
      </w:pPr>
      <w:r>
        <w:rPr>
          <w:rFonts w:ascii="Calibri" w:cs="Calibri" w:eastAsia="Calibri" w:hAnsi="Calibri"/>
          <w:color w:val="4A5160"/>
          <w:sz w:val="20"/>
          <w:szCs w:val="20"/>
        </w:rPr>
        <w:t xml:space="preserve">Three numbers matter when you have finished.</w:t>
      </w:r>
    </w:p>
    <w:p>
      <w:pPr>
        <w:pStyle w:val="Heading3"/>
        <w:spacing w:after="90" w:before="220"/>
      </w:pPr>
      <w:r>
        <w:rPr>
          <w:rFonts w:ascii="Calibri" w:cs="Calibri" w:eastAsia="Calibri" w:hAnsi="Calibri"/>
          <w:b/>
          <w:bCs/>
          <w:color w:val="1F2A44"/>
          <w:sz w:val="22"/>
          <w:szCs w:val="22"/>
        </w:rPr>
        <w:t xml:space="preserve">Your true annual IT spend</w:t>
      </w:r>
    </w:p>
    <w:p>
      <w:pPr>
        <w:spacing w:after="140" w:before="0"/>
      </w:pPr>
      <w:r>
        <w:rPr>
          <w:rFonts w:ascii="Calibri" w:cs="Calibri" w:eastAsia="Calibri" w:hAnsi="Calibri"/>
          <w:color w:val="4A5160"/>
          <w:sz w:val="20"/>
          <w:szCs w:val="20"/>
        </w:rPr>
        <w:t xml:space="preserve">Not the support fee. The total at the end of Part 1, including the lines that are charged to somebody's card and never reach the bookkeeper. It is usually larger than the number the business thinks it is.</w:t>
      </w:r>
    </w:p>
    <w:p>
      <w:pPr>
        <w:pStyle w:val="Heading3"/>
        <w:spacing w:after="90" w:before="220"/>
      </w:pPr>
      <w:r>
        <w:rPr>
          <w:rFonts w:ascii="Calibri" w:cs="Calibri" w:eastAsia="Calibri" w:hAnsi="Calibri"/>
          <w:b/>
          <w:bCs/>
          <w:color w:val="1F2A44"/>
          <w:sz w:val="22"/>
          <w:szCs w:val="22"/>
        </w:rPr>
        <w:t xml:space="preserve">How much of it is inside the contract</w:t>
      </w:r>
    </w:p>
    <w:p>
      <w:pPr>
        <w:spacing w:after="140" w:before="0"/>
      </w:pPr>
      <w:r>
        <w:rPr>
          <w:rFonts w:ascii="Calibri" w:cs="Calibri" w:eastAsia="Calibri" w:hAnsi="Calibri"/>
          <w:color w:val="4A5160"/>
          <w:sz w:val="20"/>
          <w:szCs w:val="20"/>
        </w:rPr>
        <w:t xml:space="preserve">If most of the spend sits outside the support agreement, you do not have a managed service. You have a helpdesk and a pile of separate subscriptions, and no single party is accountable for how they fit together.</w:t>
      </w:r>
    </w:p>
    <w:p>
      <w:pPr>
        <w:pStyle w:val="Heading3"/>
        <w:spacing w:after="90" w:before="220"/>
      </w:pPr>
      <w:r>
        <w:rPr>
          <w:rFonts w:ascii="Calibri" w:cs="Calibri" w:eastAsia="Calibri" w:hAnsi="Calibri"/>
          <w:b/>
          <w:bCs/>
          <w:color w:val="1F2A44"/>
          <w:sz w:val="22"/>
          <w:szCs w:val="22"/>
        </w:rPr>
        <w:t xml:space="preserve">How many lines you marked Unsure</w:t>
      </w:r>
    </w:p>
    <w:p>
      <w:pPr>
        <w:spacing w:after="200" w:before="0"/>
      </w:pPr>
      <w:r>
        <w:rPr>
          <w:rFonts w:ascii="Calibri" w:cs="Calibri" w:eastAsia="Calibri" w:hAnsi="Calibri"/>
          <w:color w:val="4A5160"/>
          <w:sz w:val="20"/>
          <w:szCs w:val="20"/>
        </w:rPr>
        <w:t xml:space="preserve">This is the real result. Every Unsure is a task that may or may not be happening, and you will find out which on the day it matters.</w:t>
      </w:r>
    </w:p>
    <w:p>
      <w:pPr>
        <w:pBdr>
          <w:bottom w:val="single" w:color="E8792B" w:sz="6"/>
        </w:pBdr>
        <w:spacing w:after="160" w:before="60"/>
      </w:pPr>
      <w:r>
        <w:rPr>
          <w:sz w:val="2"/>
          <w:szCs w:val="2"/>
        </w:rPr>
        <w:t xml:space="preserve"/>
      </w:r>
    </w:p>
    <w:p>
      <w:pPr>
        <w:spacing w:after="120" w:before="0"/>
      </w:pPr>
      <w:r>
        <w:rPr>
          <w:rFonts w:ascii="Calibri" w:cs="Calibri" w:eastAsia="Calibri" w:hAnsi="Calibri"/>
          <w:color w:val="4A5160"/>
          <w:sz w:val="20"/>
          <w:szCs w:val="20"/>
        </w:rPr>
        <w:t xml:space="preserve">Exodesk provides managed IT support to businesses in Christchurch, Dunedin and across the South Island. If you would like someone to go through this worksheet with you, an IT assessment covers the same ground with your systems in front of us.</w:t>
      </w:r>
    </w:p>
    <w:p>
      <w:pPr>
        <w:spacing w:after="120" w:before="0"/>
      </w:pPr>
      <w:r>
        <w:rPr>
          <w:rFonts w:ascii="Calibri" w:cs="Calibri" w:eastAsia="Calibri" w:hAnsi="Calibri"/>
          <w:b/>
          <w:bCs/>
          <w:color w:val="1F2A44"/>
          <w:sz w:val="21"/>
          <w:szCs w:val="21"/>
        </w:rPr>
        <w:t xml:space="preserve">0800 396 337    |    exodesk.co.nz/it-assessment/</w:t>
      </w:r>
    </w:p>
    <w:p>
      <w:pPr>
        <w:spacing w:after="120" w:before="0"/>
      </w:pPr>
      <w:r>
        <w:rPr>
          <w:rFonts w:ascii="Calibri" w:cs="Calibri" w:eastAsia="Calibri" w:hAnsi="Calibri"/>
          <w:i/>
          <w:iCs/>
          <w:color w:val="4A5160"/>
          <w:sz w:val="17"/>
          <w:szCs w:val="17"/>
        </w:rPr>
        <w:t xml:space="preserve">This worksheet is general information, not legal advice. Exodesk is not a law firm. If you need advice about your obligations under the Privacy Act 2020, talk to a lawyer or to the Office of the Privacy Commissioner.</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5160"/>
        <w:sz w:val="16"/>
        <w:szCs w:val="16"/>
      </w:rPr>
      <w:t xml:space="preserve">Exodesk  |  0800 396 337  |  exodesk.co.nz  |  page </w:t>
    </w:r>
    <w:r>
      <w:rPr>
        <w:color w:val="4A516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A516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A9A1CEE76D0B40B5C005A377635E74" ma:contentTypeVersion="15" ma:contentTypeDescription="Create a new document." ma:contentTypeScope="" ma:versionID="01eeef5d4b780e2f35a776fe62269616">
  <xsd:schema xmlns:xsd="http://www.w3.org/2001/XMLSchema" xmlns:xs="http://www.w3.org/2001/XMLSchema" xmlns:p="http://schemas.microsoft.com/office/2006/metadata/properties" xmlns:ns2="1bf76904-2081-48a1-b9de-30d82018efa1" xmlns:ns3="e9373633-fe40-417f-8405-9b7d8f6ab1b7" targetNamespace="http://schemas.microsoft.com/office/2006/metadata/properties" ma:root="true" ma:fieldsID="82d16b2ab84d003702d653fd7d51f35b" ns2:_="" ns3:_="">
    <xsd:import namespace="1bf76904-2081-48a1-b9de-30d82018efa1"/>
    <xsd:import namespace="e9373633-fe40-417f-8405-9b7d8f6ab1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76904-2081-48a1-b9de-30d82018e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052817e-1273-4e3b-be49-e267c53cdfb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373633-fe40-417f-8405-9b7d8f6ab1b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463ec22-eb70-40a0-a5e2-99523da4d1a8}" ma:internalName="TaxCatchAll" ma:showField="CatchAllData" ma:web="e9373633-fe40-417f-8405-9b7d8f6ab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73633-fe40-417f-8405-9b7d8f6ab1b7" xsi:nil="true"/>
    <lcf76f155ced4ddcb4097134ff3c332f xmlns="1bf76904-2081-48a1-b9de-30d82018ef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626750-E86D-4ED4-9B2F-8560DD033D75}"/>
</file>

<file path=customXml/itemProps2.xml><?xml version="1.0" encoding="utf-8"?>
<ds:datastoreItem xmlns:ds="http://schemas.openxmlformats.org/officeDocument/2006/customXml" ds:itemID="{025629EB-D5F7-427E-A41A-29256DDC6C0E}"/>
</file>

<file path=customXml/itemProps3.xml><?xml version="1.0" encoding="utf-8"?>
<ds:datastoreItem xmlns:ds="http://schemas.openxmlformats.org/officeDocument/2006/customXml" ds:itemID="{A5C05447-0BA5-4396-8EF9-F808C713D1F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IT Spend and Scope Worksheet</dc:title>
  <dc:creator>Exodesk</dc:creator>
  <dc:description>Work out what your business pays for IT and what your support contract actually covers.</dc:description>
  <cp:lastModifiedBy>Un-named</cp:lastModifiedBy>
  <cp:revision>1</cp:revision>
  <dcterms:created xsi:type="dcterms:W3CDTF">2026-09-11T08:29:44Z</dcterms:created>
  <dcterms:modified xsi:type="dcterms:W3CDTF">2026-09-11T08:29:44Z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0x01010007A9A1CEE76D0B40B5C005A377635E74</vt:lpwstr>
  </property>
</Properties>
</file>